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66" w:rsidRDefault="00074FF9" w:rsidP="00074FF9">
      <w:pPr>
        <w:rPr>
          <w:rStyle w:val="mn"/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  <w:r>
        <w:rPr>
          <w:rStyle w:val="mn"/>
          <w:rFonts w:ascii="Arial" w:hAnsi="Arial" w:cs="Arial"/>
          <w:b/>
          <w:color w:val="000000"/>
          <w:bdr w:val="none" w:sz="0" w:space="0" w:color="auto" w:frame="1"/>
        </w:rPr>
        <w:t xml:space="preserve">2. úkol </w:t>
      </w:r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– vyhledej význam těchto pojmů: </w:t>
      </w:r>
    </w:p>
    <w:p w:rsidR="00E97266" w:rsidRPr="00E97266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depozitní certifikát – </w:t>
      </w:r>
      <w:r>
        <w:rPr>
          <w:rStyle w:val="mn"/>
          <w:rFonts w:ascii="Arial" w:hAnsi="Arial" w:cs="Arial"/>
          <w:color w:val="FF0000"/>
          <w:bdr w:val="none" w:sz="0" w:space="0" w:color="auto" w:frame="1"/>
        </w:rPr>
        <w:t>cenný papír, který vydává banka</w:t>
      </w:r>
      <w:r w:rsidR="00977D61">
        <w:rPr>
          <w:rStyle w:val="mn"/>
          <w:rFonts w:ascii="Arial" w:hAnsi="Arial" w:cs="Arial"/>
          <w:color w:val="FF0000"/>
          <w:bdr w:val="none" w:sz="0" w:space="0" w:color="auto" w:frame="1"/>
        </w:rPr>
        <w:t xml:space="preserve"> = dlužník klientovi = věřiteli jako potvrzení o přijetí vkladu</w:t>
      </w:r>
    </w:p>
    <w:p w:rsidR="00E97266" w:rsidRPr="00977D61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>termínovaný vklad</w:t>
      </w:r>
      <w:r w:rsidR="00977D61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977D61">
        <w:rPr>
          <w:rStyle w:val="mn"/>
          <w:rFonts w:ascii="Arial" w:hAnsi="Arial" w:cs="Arial"/>
          <w:color w:val="FF0000"/>
          <w:bdr w:val="none" w:sz="0" w:space="0" w:color="auto" w:frame="1"/>
        </w:rPr>
        <w:t>termínovaný účet, z něhož vkladatel nebude z banky po sjednanou dobu vložené peníze vybírat</w:t>
      </w:r>
    </w:p>
    <w:p w:rsidR="00E97266" w:rsidRPr="00977D61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>běžný účet</w:t>
      </w:r>
      <w:r w:rsidR="00977D61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977D61">
        <w:rPr>
          <w:rStyle w:val="mn"/>
          <w:rFonts w:ascii="Arial" w:hAnsi="Arial" w:cs="Arial"/>
          <w:color w:val="FF0000"/>
          <w:bdr w:val="none" w:sz="0" w:space="0" w:color="auto" w:frame="1"/>
        </w:rPr>
        <w:t>účet, ze kterého může majitel peníze kdykoliv vybrat</w:t>
      </w:r>
      <w:r w:rsidR="00977D61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E97266" w:rsidRPr="00977D61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>daň z úroku</w:t>
      </w:r>
      <w:r w:rsidR="00977D61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977D61">
        <w:rPr>
          <w:rStyle w:val="mn"/>
          <w:rFonts w:ascii="Arial" w:hAnsi="Arial" w:cs="Arial"/>
          <w:color w:val="FF0000"/>
          <w:bdr w:val="none" w:sz="0" w:space="0" w:color="auto" w:frame="1"/>
        </w:rPr>
        <w:t>určuje stát, je stejná u všech bank = 15% (u vkladních knížek, termínovaných vkladů a běžných účtů)</w:t>
      </w:r>
    </w:p>
    <w:p w:rsidR="00E97266" w:rsidRPr="00977D61" w:rsidRDefault="00E97266" w:rsidP="00074FF9">
      <w:pPr>
        <w:rPr>
          <w:rStyle w:val="mn"/>
          <w:rFonts w:ascii="Arial" w:hAnsi="Arial" w:cs="Arial"/>
          <w:b/>
          <w:color w:val="FF0000"/>
          <w:bdr w:val="none" w:sz="0" w:space="0" w:color="auto" w:frame="1"/>
        </w:rPr>
      </w:pPr>
      <w:r w:rsidRPr="00977D61">
        <w:rPr>
          <w:rStyle w:val="mn"/>
          <w:rFonts w:ascii="Arial" w:hAnsi="Arial" w:cs="Arial"/>
          <w:b/>
          <w:color w:val="000000"/>
          <w:bdr w:val="none" w:sz="0" w:space="0" w:color="auto" w:frame="1"/>
        </w:rPr>
        <w:t>cenné papíry</w:t>
      </w:r>
      <w:r w:rsidR="00977D61" w:rsidRPr="00977D61">
        <w:rPr>
          <w:rStyle w:val="mn"/>
          <w:rFonts w:ascii="Arial" w:hAnsi="Arial" w:cs="Arial"/>
          <w:b/>
          <w:color w:val="000000"/>
          <w:bdr w:val="none" w:sz="0" w:space="0" w:color="auto" w:frame="1"/>
        </w:rPr>
        <w:t>:</w:t>
      </w:r>
    </w:p>
    <w:p w:rsidR="00E97266" w:rsidRPr="00977D61" w:rsidRDefault="00074FF9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dluhopis </w:t>
      </w:r>
      <w:r w:rsidR="00977D61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– </w:t>
      </w:r>
      <w:r w:rsidR="00977D61">
        <w:rPr>
          <w:rStyle w:val="mn"/>
          <w:rFonts w:ascii="Arial" w:hAnsi="Arial" w:cs="Arial"/>
          <w:color w:val="FF0000"/>
          <w:bdr w:val="none" w:sz="0" w:space="0" w:color="auto" w:frame="1"/>
        </w:rPr>
        <w:t>cenný papír, který vyjadřuje závazek dlužníka vůči věřiteli – majiteli dluhopisu (vydává je stát, obce, města, banky, firmy)</w:t>
      </w:r>
    </w:p>
    <w:p w:rsidR="00E97266" w:rsidRPr="00977D61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>podílové listy</w:t>
      </w:r>
      <w:r w:rsidR="00977D61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977D61">
        <w:rPr>
          <w:rStyle w:val="mn"/>
          <w:rFonts w:ascii="Arial" w:hAnsi="Arial" w:cs="Arial"/>
          <w:color w:val="FF0000"/>
          <w:bdr w:val="none" w:sz="0" w:space="0" w:color="auto" w:frame="1"/>
        </w:rPr>
        <w:t>cenné papíry, které vydávají investiční společnosti a tím shromažďují prostředky v podílových fondech</w:t>
      </w:r>
    </w:p>
    <w:p w:rsidR="00E97266" w:rsidRPr="00977D61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>kurz podílového listu</w:t>
      </w:r>
      <w:r w:rsidR="00977D61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977D61">
        <w:rPr>
          <w:rStyle w:val="mn"/>
          <w:rFonts w:ascii="Arial" w:hAnsi="Arial" w:cs="Arial"/>
          <w:color w:val="FF0000"/>
          <w:bdr w:val="none" w:sz="0" w:space="0" w:color="auto" w:frame="1"/>
        </w:rPr>
        <w:t>hodnota v Kč, za kterou je možné podílový list prodat nebo koupit</w:t>
      </w:r>
    </w:p>
    <w:p w:rsidR="00E97266" w:rsidRPr="00CC3118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>akcie</w:t>
      </w:r>
      <w:r w:rsidR="00CC3118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CC3118">
        <w:rPr>
          <w:rStyle w:val="mn"/>
          <w:rFonts w:ascii="Arial" w:hAnsi="Arial" w:cs="Arial"/>
          <w:color w:val="FF0000"/>
          <w:bdr w:val="none" w:sz="0" w:space="0" w:color="auto" w:frame="1"/>
        </w:rPr>
        <w:t>cenný papír, který představuje podíl na jmění a zisku akciové společnosti</w:t>
      </w:r>
    </w:p>
    <w:p w:rsidR="00E97266" w:rsidRPr="00CC3118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>burza</w:t>
      </w:r>
      <w:r w:rsidR="00CC3118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CC3118">
        <w:rPr>
          <w:rStyle w:val="mn"/>
          <w:rFonts w:ascii="Arial" w:hAnsi="Arial" w:cs="Arial"/>
          <w:color w:val="FF0000"/>
          <w:bdr w:val="none" w:sz="0" w:space="0" w:color="auto" w:frame="1"/>
        </w:rPr>
        <w:t>místo, kde se uzavírají obchody s cennými papíry</w:t>
      </w:r>
    </w:p>
    <w:p w:rsidR="00E97266" w:rsidRPr="00CC3118" w:rsidRDefault="00E97266" w:rsidP="00074FF9">
      <w:pPr>
        <w:rPr>
          <w:rStyle w:val="mn"/>
          <w:rFonts w:ascii="Arial" w:hAnsi="Arial" w:cs="Arial"/>
          <w:b/>
          <w:color w:val="FF0000"/>
          <w:bdr w:val="none" w:sz="0" w:space="0" w:color="auto" w:frame="1"/>
        </w:rPr>
      </w:pPr>
      <w:r w:rsidRPr="00CC3118">
        <w:rPr>
          <w:rStyle w:val="mn"/>
          <w:rFonts w:ascii="Arial" w:hAnsi="Arial" w:cs="Arial"/>
          <w:b/>
          <w:color w:val="000000"/>
          <w:bdr w:val="none" w:sz="0" w:space="0" w:color="auto" w:frame="1"/>
        </w:rPr>
        <w:t>Úvěry a půjčk</w:t>
      </w:r>
      <w:r w:rsidR="00CC3118">
        <w:rPr>
          <w:rStyle w:val="mn"/>
          <w:rFonts w:ascii="Arial" w:hAnsi="Arial" w:cs="Arial"/>
          <w:b/>
          <w:color w:val="000000"/>
          <w:bdr w:val="none" w:sz="0" w:space="0" w:color="auto" w:frame="1"/>
        </w:rPr>
        <w:t>y:</w:t>
      </w:r>
    </w:p>
    <w:p w:rsidR="00E97266" w:rsidRPr="00CC3118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Akontace</w:t>
      </w:r>
      <w:r w:rsidR="00CC3118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CC3118">
        <w:rPr>
          <w:rStyle w:val="mn"/>
          <w:rFonts w:ascii="Arial" w:hAnsi="Arial" w:cs="Arial"/>
          <w:color w:val="FF0000"/>
          <w:bdr w:val="none" w:sz="0" w:space="0" w:color="auto" w:frame="1"/>
        </w:rPr>
        <w:t>zálohová úhrada části zboží</w:t>
      </w:r>
    </w:p>
    <w:p w:rsidR="00E97266" w:rsidRPr="00CC3118" w:rsidRDefault="00074FF9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>manipulační poplatek</w:t>
      </w:r>
      <w:r w:rsidR="00CC3118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CC3118">
        <w:rPr>
          <w:rStyle w:val="mn"/>
          <w:rFonts w:ascii="Arial" w:hAnsi="Arial" w:cs="Arial"/>
          <w:color w:val="FF0000"/>
          <w:bdr w:val="none" w:sz="0" w:space="0" w:color="auto" w:frame="1"/>
        </w:rPr>
        <w:t>poplatek za odborné zacházení s něčím</w:t>
      </w:r>
    </w:p>
    <w:p w:rsidR="00E97266" w:rsidRPr="00CC3118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>leasing</w:t>
      </w:r>
      <w:r w:rsidR="00CC3118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CC3118">
        <w:rPr>
          <w:rStyle w:val="mn"/>
          <w:rFonts w:ascii="Arial" w:hAnsi="Arial" w:cs="Arial"/>
          <w:color w:val="FF0000"/>
          <w:bdr w:val="none" w:sz="0" w:space="0" w:color="auto" w:frame="1"/>
        </w:rPr>
        <w:t>prodej na splátky</w:t>
      </w:r>
    </w:p>
    <w:p w:rsidR="00074FF9" w:rsidRPr="00CC3118" w:rsidRDefault="00E97266" w:rsidP="00074FF9">
      <w:pPr>
        <w:rPr>
          <w:rStyle w:val="mn"/>
          <w:rFonts w:ascii="Arial" w:hAnsi="Arial" w:cs="Arial"/>
          <w:color w:val="FF0000"/>
          <w:bdr w:val="none" w:sz="0" w:space="0" w:color="auto" w:frame="1"/>
        </w:rPr>
      </w:pPr>
      <w:r>
        <w:rPr>
          <w:rStyle w:val="mn"/>
          <w:rFonts w:ascii="Arial" w:hAnsi="Arial" w:cs="Arial"/>
          <w:color w:val="000000"/>
          <w:bdr w:val="none" w:sz="0" w:space="0" w:color="auto" w:frame="1"/>
        </w:rPr>
        <w:t>hypoteční úvěr</w:t>
      </w:r>
      <w:r w:rsidR="00CC3118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, </w:t>
      </w:r>
      <w:r>
        <w:rPr>
          <w:rStyle w:val="mn"/>
          <w:rFonts w:ascii="Arial" w:hAnsi="Arial" w:cs="Arial"/>
          <w:color w:val="000000"/>
          <w:bdr w:val="none" w:sz="0" w:space="0" w:color="auto" w:frame="1"/>
        </w:rPr>
        <w:t>hypotéka</w:t>
      </w:r>
      <w:r w:rsidR="00CC3118">
        <w:rPr>
          <w:rStyle w:val="mn"/>
          <w:rFonts w:ascii="Arial" w:hAnsi="Arial" w:cs="Arial"/>
          <w:color w:val="000000"/>
          <w:bdr w:val="none" w:sz="0" w:space="0" w:color="auto" w:frame="1"/>
        </w:rPr>
        <w:t xml:space="preserve"> – </w:t>
      </w:r>
      <w:r w:rsidR="00CC3118">
        <w:rPr>
          <w:rStyle w:val="mn"/>
          <w:rFonts w:ascii="Arial" w:hAnsi="Arial" w:cs="Arial"/>
          <w:color w:val="FF0000"/>
          <w:bdr w:val="none" w:sz="0" w:space="0" w:color="auto" w:frame="1"/>
        </w:rPr>
        <w:t>půjčka poskytnutá se zástavním právem k nemovitosti</w:t>
      </w:r>
    </w:p>
    <w:p w:rsidR="00516C82" w:rsidRDefault="00516C82"/>
    <w:sectPr w:rsidR="0051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CA"/>
    <w:rsid w:val="00074FF9"/>
    <w:rsid w:val="00414CCA"/>
    <w:rsid w:val="00516C82"/>
    <w:rsid w:val="00977D61"/>
    <w:rsid w:val="00A660FF"/>
    <w:rsid w:val="00CC3118"/>
    <w:rsid w:val="00E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n">
    <w:name w:val="mn"/>
    <w:basedOn w:val="Standardnpsmoodstavce"/>
    <w:rsid w:val="00074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n">
    <w:name w:val="mn"/>
    <w:basedOn w:val="Standardnpsmoodstavce"/>
    <w:rsid w:val="0007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9</cp:revision>
  <cp:lastPrinted>2020-04-06T19:38:00Z</cp:lastPrinted>
  <dcterms:created xsi:type="dcterms:W3CDTF">2020-04-05T17:09:00Z</dcterms:created>
  <dcterms:modified xsi:type="dcterms:W3CDTF">2020-04-06T19:38:00Z</dcterms:modified>
</cp:coreProperties>
</file>